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b/>
          <w:bCs/>
          <w:color w:val="auto"/>
          <w:sz w:val="30"/>
          <w:szCs w:val="30"/>
          <w:lang w:val="en-US" w:eastAsia="zh-CN"/>
        </w:rPr>
      </w:pPr>
      <w:r>
        <w:rPr>
          <w:rFonts w:hint="eastAsia"/>
          <w:b/>
          <w:bCs/>
          <w:color w:val="auto"/>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eastAsia="宋体"/>
          <w:b/>
          <w:bCs/>
          <w:color w:val="auto"/>
          <w:sz w:val="36"/>
          <w:szCs w:val="36"/>
          <w:lang w:val="en-US" w:eastAsia="zh-CN"/>
        </w:rPr>
      </w:pPr>
      <w:r>
        <w:rPr>
          <w:rFonts w:hint="eastAsia"/>
          <w:sz w:val="36"/>
          <w:szCs w:val="36"/>
          <w:lang w:val="en-US" w:eastAsia="zh-CN"/>
        </w:rPr>
        <w:t xml:space="preserve">  </w:t>
      </w:r>
      <w:r>
        <w:rPr>
          <w:rFonts w:hint="eastAsia"/>
          <w:b/>
          <w:bCs/>
          <w:color w:val="auto"/>
          <w:sz w:val="36"/>
          <w:szCs w:val="36"/>
          <w:lang w:val="en-US" w:eastAsia="zh-CN"/>
        </w:rPr>
        <w:t>用户需求书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0"/>
        <w:rPr>
          <w:rFonts w:hint="eastAsia" w:ascii="黑体" w:hAnsi="黑体" w:eastAsia="黑体" w:cs="黑体"/>
          <w:b/>
          <w:bCs/>
          <w:color w:val="auto"/>
          <w:kern w:val="2"/>
          <w:sz w:val="28"/>
          <w:szCs w:val="28"/>
          <w:lang w:val="en-US" w:eastAsia="zh-CN" w:bidi="ar-SA"/>
        </w:rPr>
      </w:pPr>
      <w:bookmarkStart w:id="0" w:name="_Toc130502731"/>
      <w:r>
        <w:rPr>
          <w:rFonts w:hint="eastAsia" w:ascii="黑体" w:hAnsi="黑体" w:eastAsia="黑体" w:cs="黑体"/>
          <w:b/>
          <w:bCs/>
          <w:color w:val="auto"/>
          <w:kern w:val="2"/>
          <w:sz w:val="28"/>
          <w:szCs w:val="28"/>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为了更好的与基本医疗保险有效衔接互补，进一步减轻员工重特大疾病医疗费用负担，建立合理、完善的员工福利保障体系，更好满足员工多层次多元化医疗保障需求，不断增强员工的获得感与幸福感，湖南华升股份有限公司计划为员工购买一份补充医疗保险，职工均缴纳了职工医疗保险或城乡居民医保，具体如下: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1、服务期限:一年(</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2025年1月1日至2025年12月31日)。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2、参保对象: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(1)湖南华升股份有限公司本部、湖南华升工贸有限公司、湖南华升服饰股份有限公司在职职工。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(2)湖南华升股份有限公司本部、湖南华升工贸有限公司、湖南华升服饰股份有限公司退休、下岗职工。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3、参保人数:预计年度投保人数约180人次(其中:退休、下岗职工人数合计</w:t>
      </w:r>
      <w:r>
        <w:rPr>
          <w:rFonts w:hint="eastAsia" w:ascii="宋体" w:hAnsi="宋体" w:cs="宋体"/>
          <w:b w:val="0"/>
          <w:bCs w:val="0"/>
          <w:color w:val="auto"/>
          <w:sz w:val="24"/>
          <w:szCs w:val="24"/>
          <w:lang w:val="en-US" w:eastAsia="zh-CN"/>
        </w:rPr>
        <w:t>为</w:t>
      </w:r>
      <w:r>
        <w:rPr>
          <w:rFonts w:hint="eastAsia" w:ascii="宋体" w:hAnsi="宋体" w:eastAsia="宋体" w:cs="宋体"/>
          <w:b w:val="0"/>
          <w:bCs w:val="0"/>
          <w:color w:val="auto"/>
          <w:sz w:val="24"/>
          <w:szCs w:val="24"/>
          <w:lang w:val="en-US" w:eastAsia="zh-CN"/>
        </w:rPr>
        <w:t>10人，实际人数根据华升股份及所属子公司提供人数为准)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 xml:space="preserve">    4、项目预算： 在职职工：1800元/人/年，退休、下岗职工：550元/人/年。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0"/>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kern w:val="2"/>
          <w:sz w:val="28"/>
          <w:szCs w:val="28"/>
          <w:lang w:val="en-US" w:eastAsia="zh-CN" w:bidi="ar-SA"/>
        </w:rPr>
        <w:t>二、</w:t>
      </w:r>
      <w:bookmarkEnd w:id="0"/>
      <w:r>
        <w:rPr>
          <w:rFonts w:hint="eastAsia" w:ascii="黑体" w:hAnsi="黑体" w:eastAsia="黑体" w:cs="黑体"/>
          <w:b/>
          <w:bCs/>
          <w:color w:val="auto"/>
          <w:kern w:val="2"/>
          <w:sz w:val="28"/>
          <w:szCs w:val="28"/>
          <w:lang w:val="en-US" w:eastAsia="zh-CN" w:bidi="ar-SA"/>
        </w:rPr>
        <w:t>基本保险方案</w:t>
      </w:r>
    </w:p>
    <w:p>
      <w:pPr>
        <w:pStyle w:val="5"/>
        <w:ind w:left="0" w:leftChars="0" w:firstLine="0" w:firstLineChars="0"/>
        <w:jc w:val="center"/>
        <w:rPr>
          <w:rFonts w:hint="eastAsia" w:ascii="宋体" w:hAnsi="宋体" w:eastAsia="宋体" w:cs="宋体"/>
          <w:b w:val="0"/>
          <w:bCs w:val="0"/>
          <w:color w:val="auto"/>
          <w:sz w:val="24"/>
          <w:szCs w:val="24"/>
          <w:lang w:val="en-US" w:eastAsia="zh-CN"/>
        </w:rPr>
      </w:pPr>
    </w:p>
    <w:p>
      <w:pPr>
        <w:pStyle w:val="5"/>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1、退休、下岗职工补充医疗基本保险方案</w:t>
      </w:r>
    </w:p>
    <w:tbl>
      <w:tblPr>
        <w:tblStyle w:val="6"/>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24"/>
        <w:gridCol w:w="1014"/>
        <w:gridCol w:w="5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42" w:type="dxa"/>
            <w:noWrap w:val="0"/>
            <w:vAlign w:val="center"/>
          </w:tcPr>
          <w:p>
            <w:pPr>
              <w:jc w:val="center"/>
              <w:rPr>
                <w:rFonts w:hint="eastAsia" w:ascii="宋体" w:hAnsi="宋体"/>
                <w:bCs/>
                <w:sz w:val="18"/>
                <w:szCs w:val="18"/>
              </w:rPr>
            </w:pPr>
            <w:r>
              <w:rPr>
                <w:rFonts w:hint="eastAsia" w:ascii="宋体" w:hAnsi="宋体"/>
                <w:bCs/>
                <w:sz w:val="18"/>
                <w:szCs w:val="18"/>
              </w:rPr>
              <w:t>保险项目</w:t>
            </w:r>
          </w:p>
        </w:tc>
        <w:tc>
          <w:tcPr>
            <w:tcW w:w="1024" w:type="dxa"/>
            <w:noWrap w:val="0"/>
            <w:vAlign w:val="center"/>
          </w:tcPr>
          <w:p>
            <w:pPr>
              <w:jc w:val="center"/>
              <w:rPr>
                <w:rFonts w:hint="eastAsia" w:ascii="宋体" w:hAnsi="宋体"/>
                <w:bCs/>
                <w:sz w:val="18"/>
                <w:szCs w:val="18"/>
              </w:rPr>
            </w:pPr>
            <w:r>
              <w:rPr>
                <w:rFonts w:hint="eastAsia" w:ascii="宋体" w:hAnsi="宋体"/>
                <w:bCs/>
                <w:sz w:val="18"/>
                <w:szCs w:val="18"/>
              </w:rPr>
              <w:t>保险金额</w:t>
            </w:r>
          </w:p>
        </w:tc>
        <w:tc>
          <w:tcPr>
            <w:tcW w:w="1014" w:type="dxa"/>
            <w:noWrap w:val="0"/>
            <w:vAlign w:val="center"/>
          </w:tcPr>
          <w:p>
            <w:pPr>
              <w:jc w:val="center"/>
              <w:rPr>
                <w:rFonts w:hint="eastAsia" w:ascii="宋体" w:hAnsi="宋体"/>
                <w:bCs/>
                <w:sz w:val="18"/>
                <w:szCs w:val="18"/>
              </w:rPr>
            </w:pPr>
            <w:r>
              <w:rPr>
                <w:rFonts w:hint="eastAsia" w:ascii="宋体" w:hAnsi="宋体"/>
                <w:bCs/>
                <w:sz w:val="18"/>
                <w:szCs w:val="18"/>
              </w:rPr>
              <w:t>保险期限</w:t>
            </w:r>
          </w:p>
        </w:tc>
        <w:tc>
          <w:tcPr>
            <w:tcW w:w="5257" w:type="dxa"/>
            <w:noWrap w:val="0"/>
            <w:vAlign w:val="center"/>
          </w:tcPr>
          <w:p>
            <w:pPr>
              <w:jc w:val="center"/>
              <w:rPr>
                <w:rFonts w:hint="eastAsia" w:ascii="宋体" w:hAnsi="宋体"/>
                <w:bCs/>
                <w:sz w:val="18"/>
                <w:szCs w:val="18"/>
              </w:rPr>
            </w:pPr>
            <w:r>
              <w:rPr>
                <w:rFonts w:hint="eastAsia" w:ascii="宋体" w:hAnsi="宋体"/>
                <w:bCs/>
                <w:sz w:val="18"/>
                <w:szCs w:val="18"/>
              </w:rPr>
              <w:t>给</w:t>
            </w:r>
            <w:r>
              <w:rPr>
                <w:rFonts w:hint="eastAsia" w:ascii="宋体" w:hAnsi="宋体"/>
                <w:sz w:val="18"/>
                <w:szCs w:val="18"/>
              </w:rPr>
              <w:t>付</w:t>
            </w:r>
            <w:r>
              <w:rPr>
                <w:rFonts w:hint="eastAsia" w:ascii="宋体" w:hAnsi="宋体"/>
                <w:bCs/>
                <w:sz w:val="18"/>
                <w:szCs w:val="18"/>
              </w:rPr>
              <w:t>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242" w:type="dxa"/>
            <w:noWrap w:val="0"/>
            <w:vAlign w:val="center"/>
          </w:tcPr>
          <w:p>
            <w:pPr>
              <w:jc w:val="center"/>
              <w:rPr>
                <w:rFonts w:hint="eastAsia" w:ascii="宋体" w:hAnsi="宋体" w:eastAsia="宋体"/>
                <w:b w:val="0"/>
                <w:bCs/>
                <w:color w:val="auto"/>
                <w:sz w:val="18"/>
                <w:szCs w:val="18"/>
                <w:lang w:eastAsia="zh-CN"/>
              </w:rPr>
            </w:pPr>
            <w:r>
              <w:rPr>
                <w:rFonts w:hint="eastAsia"/>
                <w:b w:val="0"/>
                <w:bCs/>
                <w:color w:val="auto"/>
                <w:sz w:val="18"/>
                <w:szCs w:val="18"/>
                <w:lang w:eastAsia="zh-CN"/>
              </w:rPr>
              <w:t>疾病住院</w:t>
            </w:r>
          </w:p>
        </w:tc>
        <w:tc>
          <w:tcPr>
            <w:tcW w:w="1024" w:type="dxa"/>
            <w:noWrap w:val="0"/>
            <w:vAlign w:val="center"/>
          </w:tcPr>
          <w:p>
            <w:pPr>
              <w:jc w:val="center"/>
              <w:rPr>
                <w:rFonts w:hint="eastAsia" w:ascii="宋体" w:hAnsi="宋体"/>
                <w:b w:val="0"/>
                <w:bCs/>
                <w:color w:val="auto"/>
                <w:sz w:val="18"/>
                <w:szCs w:val="18"/>
              </w:rPr>
            </w:pPr>
            <w:r>
              <w:rPr>
                <w:rFonts w:hint="eastAsia" w:ascii="宋体" w:hAnsi="宋体"/>
                <w:b w:val="0"/>
                <w:bCs/>
                <w:color w:val="auto"/>
                <w:sz w:val="18"/>
                <w:szCs w:val="18"/>
                <w:lang w:val="en-US" w:eastAsia="zh-CN"/>
              </w:rPr>
              <w:t>25000</w:t>
            </w:r>
            <w:r>
              <w:rPr>
                <w:rFonts w:hint="eastAsia" w:ascii="宋体" w:hAnsi="宋体"/>
                <w:b w:val="0"/>
                <w:bCs/>
                <w:color w:val="auto"/>
                <w:sz w:val="18"/>
                <w:szCs w:val="18"/>
              </w:rPr>
              <w:t>元</w:t>
            </w:r>
          </w:p>
        </w:tc>
        <w:tc>
          <w:tcPr>
            <w:tcW w:w="1014" w:type="dxa"/>
            <w:noWrap w:val="0"/>
            <w:vAlign w:val="center"/>
          </w:tcPr>
          <w:p>
            <w:pPr>
              <w:ind w:firstLine="90" w:firstLineChars="50"/>
              <w:jc w:val="center"/>
              <w:rPr>
                <w:rFonts w:hint="eastAsia" w:ascii="宋体" w:hAnsi="宋体"/>
                <w:b w:val="0"/>
                <w:bCs/>
                <w:color w:val="auto"/>
                <w:sz w:val="18"/>
                <w:szCs w:val="18"/>
              </w:rPr>
            </w:pPr>
            <w:r>
              <w:rPr>
                <w:rFonts w:hint="eastAsia" w:ascii="宋体" w:hAnsi="宋体"/>
                <w:b w:val="0"/>
                <w:bCs/>
                <w:color w:val="auto"/>
                <w:sz w:val="18"/>
                <w:szCs w:val="18"/>
              </w:rPr>
              <w:t>1年</w:t>
            </w:r>
          </w:p>
        </w:tc>
        <w:tc>
          <w:tcPr>
            <w:tcW w:w="5257" w:type="dxa"/>
            <w:noWrap w:val="0"/>
            <w:vAlign w:val="center"/>
          </w:tcPr>
          <w:p>
            <w:pPr>
              <w:jc w:val="left"/>
              <w:rPr>
                <w:rFonts w:hint="eastAsia" w:ascii="宋体" w:hAnsi="宋体"/>
                <w:b w:val="0"/>
                <w:bCs/>
                <w:color w:val="auto"/>
                <w:sz w:val="18"/>
                <w:szCs w:val="18"/>
                <w:lang w:eastAsia="zh-CN"/>
              </w:rPr>
            </w:pPr>
            <w:r>
              <w:rPr>
                <w:rFonts w:hint="eastAsia" w:ascii="宋体" w:hAnsi="宋体"/>
                <w:b w:val="0"/>
                <w:bCs/>
                <w:color w:val="auto"/>
                <w:sz w:val="18"/>
                <w:szCs w:val="18"/>
                <w:lang w:val="en-US" w:eastAsia="zh-CN"/>
              </w:rPr>
              <w:t>1、</w:t>
            </w:r>
            <w:r>
              <w:rPr>
                <w:rFonts w:hint="eastAsia" w:ascii="宋体" w:hAnsi="宋体"/>
                <w:b w:val="0"/>
                <w:bCs/>
                <w:color w:val="auto"/>
                <w:sz w:val="18"/>
                <w:szCs w:val="18"/>
                <w:lang w:eastAsia="zh-CN"/>
              </w:rPr>
              <w:t>不限疾病种类与住院次数，既往病史继续承担在内</w:t>
            </w:r>
          </w:p>
          <w:p>
            <w:pPr>
              <w:jc w:val="left"/>
              <w:rPr>
                <w:rFonts w:hint="eastAsia"/>
                <w:b w:val="0"/>
                <w:bCs/>
                <w:color w:val="auto"/>
                <w:sz w:val="18"/>
                <w:szCs w:val="18"/>
                <w:lang w:val="en-US" w:eastAsia="zh-CN"/>
              </w:rPr>
            </w:pPr>
            <w:r>
              <w:rPr>
                <w:rFonts w:hint="eastAsia" w:ascii="宋体" w:hAnsi="宋体"/>
                <w:b w:val="0"/>
                <w:bCs/>
                <w:color w:val="auto"/>
                <w:sz w:val="18"/>
                <w:szCs w:val="18"/>
                <w:lang w:val="en-US" w:eastAsia="zh-CN"/>
              </w:rPr>
              <w:t>2、</w:t>
            </w:r>
            <w:r>
              <w:rPr>
                <w:rFonts w:hint="eastAsia" w:ascii="宋体" w:hAnsi="宋体"/>
                <w:b w:val="0"/>
                <w:bCs/>
                <w:color w:val="auto"/>
                <w:sz w:val="18"/>
                <w:szCs w:val="18"/>
                <w:lang w:eastAsia="zh-CN"/>
              </w:rPr>
              <w:t>医保报销后，对于自费部分扣除</w:t>
            </w:r>
            <w:r>
              <w:rPr>
                <w:rFonts w:hint="eastAsia" w:ascii="宋体" w:hAnsi="宋体"/>
                <w:b w:val="0"/>
                <w:bCs/>
                <w:color w:val="auto"/>
                <w:sz w:val="18"/>
                <w:szCs w:val="18"/>
                <w:lang w:val="en-US" w:eastAsia="zh-CN"/>
              </w:rPr>
              <w:t>100元后，</w:t>
            </w:r>
            <w:r>
              <w:rPr>
                <w:rFonts w:hint="eastAsia"/>
                <w:b w:val="0"/>
                <w:bCs/>
                <w:color w:val="auto"/>
                <w:sz w:val="18"/>
                <w:szCs w:val="18"/>
                <w:lang w:val="en-US" w:eastAsia="zh-CN"/>
              </w:rPr>
              <w:t>应付起付线（门槛费）、医保统筹段自付的给付比例为80%，每位退休职工全年累计给付2.5万元</w:t>
            </w:r>
          </w:p>
          <w:p>
            <w:pPr>
              <w:jc w:val="left"/>
              <w:rPr>
                <w:rFonts w:hint="default"/>
                <w:b w:val="0"/>
                <w:bCs/>
                <w:color w:val="auto"/>
                <w:sz w:val="18"/>
                <w:szCs w:val="18"/>
                <w:lang w:val="en-US" w:eastAsia="zh-CN"/>
              </w:rPr>
            </w:pPr>
            <w:r>
              <w:rPr>
                <w:rFonts w:hint="eastAsia"/>
                <w:b w:val="0"/>
                <w:bCs/>
                <w:color w:val="auto"/>
                <w:sz w:val="18"/>
                <w:szCs w:val="18"/>
                <w:lang w:val="en-US" w:eastAsia="zh-CN"/>
              </w:rPr>
              <w:t>3、疾病住院必须在二级及以上公立医院治疗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hint="eastAsia" w:ascii="宋体" w:hAnsi="宋体"/>
                <w:bCs/>
                <w:color w:val="auto"/>
                <w:sz w:val="18"/>
                <w:szCs w:val="18"/>
              </w:rPr>
            </w:pPr>
            <w:r>
              <w:rPr>
                <w:rFonts w:hint="eastAsia" w:ascii="宋体" w:hAnsi="宋体"/>
                <w:bCs/>
                <w:color w:val="auto"/>
                <w:sz w:val="18"/>
                <w:szCs w:val="18"/>
              </w:rPr>
              <w:t>意外</w:t>
            </w:r>
            <w:r>
              <w:rPr>
                <w:rFonts w:hint="eastAsia" w:ascii="宋体" w:hAnsi="宋体"/>
                <w:bCs/>
                <w:color w:val="auto"/>
                <w:sz w:val="18"/>
                <w:szCs w:val="18"/>
                <w:lang w:eastAsia="zh-CN"/>
              </w:rPr>
              <w:t>残疾</w:t>
            </w:r>
          </w:p>
        </w:tc>
        <w:tc>
          <w:tcPr>
            <w:tcW w:w="1024" w:type="dxa"/>
            <w:noWrap w:val="0"/>
            <w:vAlign w:val="center"/>
          </w:tcPr>
          <w:p>
            <w:pPr>
              <w:jc w:val="center"/>
              <w:rPr>
                <w:rFonts w:hint="eastAsia" w:ascii="宋体" w:hAnsi="宋体"/>
                <w:bCs/>
                <w:color w:val="auto"/>
                <w:sz w:val="18"/>
                <w:szCs w:val="18"/>
                <w:highlight w:val="yellow"/>
              </w:rPr>
            </w:pPr>
            <w:r>
              <w:rPr>
                <w:rFonts w:hint="eastAsia" w:ascii="宋体" w:hAnsi="宋体"/>
                <w:bCs/>
                <w:color w:val="auto"/>
                <w:sz w:val="18"/>
                <w:szCs w:val="18"/>
              </w:rPr>
              <w:t>80000元</w:t>
            </w:r>
          </w:p>
        </w:tc>
        <w:tc>
          <w:tcPr>
            <w:tcW w:w="1014" w:type="dxa"/>
            <w:noWrap w:val="0"/>
            <w:vAlign w:val="center"/>
          </w:tcPr>
          <w:p>
            <w:pPr>
              <w:jc w:val="center"/>
              <w:rPr>
                <w:rFonts w:hint="eastAsia" w:ascii="宋体" w:hAnsi="宋体"/>
                <w:color w:val="auto"/>
                <w:sz w:val="18"/>
                <w:szCs w:val="18"/>
              </w:rPr>
            </w:pPr>
            <w:r>
              <w:rPr>
                <w:rFonts w:hint="eastAsia" w:ascii="宋体" w:hAnsi="宋体"/>
                <w:color w:val="auto"/>
                <w:sz w:val="18"/>
                <w:szCs w:val="18"/>
              </w:rPr>
              <w:t>1年</w:t>
            </w:r>
          </w:p>
        </w:tc>
        <w:tc>
          <w:tcPr>
            <w:tcW w:w="5257" w:type="dxa"/>
            <w:vMerge w:val="restart"/>
            <w:noWrap w:val="0"/>
            <w:vAlign w:val="center"/>
          </w:tcPr>
          <w:p>
            <w:pPr>
              <w:jc w:val="left"/>
              <w:rPr>
                <w:rFonts w:hint="eastAsia" w:ascii="宋体" w:hAnsi="宋体"/>
                <w:color w:val="auto"/>
                <w:sz w:val="18"/>
                <w:szCs w:val="18"/>
              </w:rPr>
            </w:pPr>
            <w:r>
              <w:rPr>
                <w:rFonts w:hint="eastAsia" w:ascii="宋体" w:hAnsi="宋体"/>
                <w:color w:val="auto"/>
                <w:sz w:val="18"/>
                <w:szCs w:val="18"/>
              </w:rPr>
              <w:t>参保</w:t>
            </w:r>
            <w:r>
              <w:rPr>
                <w:rFonts w:hint="eastAsia"/>
                <w:color w:val="auto"/>
                <w:sz w:val="18"/>
                <w:szCs w:val="18"/>
                <w:lang w:eastAsia="zh-CN"/>
              </w:rPr>
              <w:t>人员</w:t>
            </w:r>
            <w:r>
              <w:rPr>
                <w:rFonts w:hint="eastAsia" w:ascii="宋体" w:hAnsi="宋体"/>
                <w:color w:val="auto"/>
                <w:sz w:val="18"/>
                <w:szCs w:val="18"/>
              </w:rPr>
              <w:t>因意外伤害事故致残疾的，按残疾等级对照比例表给付残疾保障金。因意外伤害致身故，给付身故安慰金。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hint="eastAsia" w:ascii="宋体" w:hAnsi="宋体"/>
                <w:bCs/>
                <w:color w:val="auto"/>
                <w:sz w:val="18"/>
                <w:szCs w:val="18"/>
              </w:rPr>
            </w:pPr>
            <w:r>
              <w:rPr>
                <w:rFonts w:hint="eastAsia" w:ascii="宋体" w:hAnsi="宋体"/>
                <w:bCs/>
                <w:color w:val="auto"/>
                <w:sz w:val="18"/>
                <w:szCs w:val="18"/>
              </w:rPr>
              <w:t>意外身故</w:t>
            </w:r>
          </w:p>
        </w:tc>
        <w:tc>
          <w:tcPr>
            <w:tcW w:w="1024" w:type="dxa"/>
            <w:noWrap w:val="0"/>
            <w:vAlign w:val="center"/>
          </w:tcPr>
          <w:p>
            <w:pPr>
              <w:jc w:val="center"/>
              <w:rPr>
                <w:rFonts w:hint="eastAsia" w:ascii="宋体" w:hAnsi="宋体"/>
                <w:bCs/>
                <w:color w:val="auto"/>
                <w:sz w:val="18"/>
                <w:szCs w:val="18"/>
                <w:highlight w:val="yellow"/>
              </w:rPr>
            </w:pPr>
            <w:r>
              <w:rPr>
                <w:rFonts w:hint="eastAsia" w:ascii="宋体" w:hAnsi="宋体"/>
                <w:bCs/>
                <w:color w:val="auto"/>
                <w:sz w:val="18"/>
                <w:szCs w:val="18"/>
              </w:rPr>
              <w:t>80000元</w:t>
            </w:r>
          </w:p>
        </w:tc>
        <w:tc>
          <w:tcPr>
            <w:tcW w:w="1014" w:type="dxa"/>
            <w:noWrap w:val="0"/>
            <w:vAlign w:val="center"/>
          </w:tcPr>
          <w:p>
            <w:pPr>
              <w:jc w:val="center"/>
              <w:rPr>
                <w:rFonts w:hint="eastAsia" w:ascii="宋体" w:hAnsi="宋体"/>
                <w:color w:val="auto"/>
                <w:sz w:val="18"/>
                <w:szCs w:val="18"/>
              </w:rPr>
            </w:pPr>
            <w:r>
              <w:rPr>
                <w:rFonts w:hint="eastAsia" w:ascii="宋体" w:hAnsi="宋体"/>
                <w:color w:val="auto"/>
                <w:sz w:val="18"/>
                <w:szCs w:val="18"/>
              </w:rPr>
              <w:t>1年</w:t>
            </w:r>
          </w:p>
        </w:tc>
        <w:tc>
          <w:tcPr>
            <w:tcW w:w="5257" w:type="dxa"/>
            <w:vMerge w:val="continue"/>
            <w:noWrap w:val="0"/>
            <w:vAlign w:val="center"/>
          </w:tcPr>
          <w:p>
            <w:pPr>
              <w:jc w:val="center"/>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保险项目</w:t>
            </w:r>
          </w:p>
        </w:tc>
        <w:tc>
          <w:tcPr>
            <w:tcW w:w="1024" w:type="dxa"/>
            <w:noWrap w:val="0"/>
            <w:vAlign w:val="center"/>
          </w:tcPr>
          <w:p>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保险金额</w:t>
            </w:r>
          </w:p>
        </w:tc>
        <w:tc>
          <w:tcPr>
            <w:tcW w:w="1014" w:type="dxa"/>
            <w:noWrap w:val="0"/>
            <w:vAlign w:val="center"/>
          </w:tcPr>
          <w:p>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保险期限</w:t>
            </w:r>
          </w:p>
        </w:tc>
        <w:tc>
          <w:tcPr>
            <w:tcW w:w="5257" w:type="dxa"/>
            <w:noWrap w:val="0"/>
            <w:vAlign w:val="center"/>
          </w:tcPr>
          <w:p>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给</w:t>
            </w:r>
            <w:r>
              <w:rPr>
                <w:rFonts w:hint="eastAsia" w:ascii="宋体" w:hAnsi="宋体"/>
                <w:sz w:val="18"/>
                <w:szCs w:val="18"/>
              </w:rPr>
              <w:t>付</w:t>
            </w:r>
            <w:r>
              <w:rPr>
                <w:rFonts w:hint="eastAsia" w:ascii="宋体" w:hAnsi="宋体"/>
                <w:bCs/>
                <w:sz w:val="18"/>
                <w:szCs w:val="18"/>
              </w:rPr>
              <w:t>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hint="eastAsia" w:ascii="宋体" w:hAnsi="宋体" w:eastAsia="宋体" w:cs="Times New Roman"/>
                <w:bCs/>
                <w:color w:val="auto"/>
                <w:sz w:val="18"/>
                <w:szCs w:val="18"/>
              </w:rPr>
            </w:pPr>
            <w:r>
              <w:rPr>
                <w:rFonts w:hint="eastAsia" w:ascii="宋体" w:hAnsi="宋体" w:eastAsia="宋体" w:cs="Times New Roman"/>
                <w:bCs/>
                <w:color w:val="auto"/>
                <w:sz w:val="18"/>
                <w:szCs w:val="18"/>
              </w:rPr>
              <w:t>意外</w:t>
            </w:r>
            <w:r>
              <w:rPr>
                <w:rFonts w:hint="eastAsia" w:ascii="宋体" w:hAnsi="宋体" w:eastAsia="宋体" w:cs="Times New Roman"/>
                <w:bCs/>
                <w:color w:val="auto"/>
                <w:sz w:val="18"/>
                <w:szCs w:val="18"/>
                <w:lang w:eastAsia="zh-CN"/>
              </w:rPr>
              <w:t>医疗</w:t>
            </w:r>
          </w:p>
        </w:tc>
        <w:tc>
          <w:tcPr>
            <w:tcW w:w="1024" w:type="dxa"/>
            <w:noWrap w:val="0"/>
            <w:vAlign w:val="center"/>
          </w:tcPr>
          <w:p>
            <w:pPr>
              <w:jc w:val="center"/>
              <w:rPr>
                <w:rFonts w:hint="eastAsia" w:ascii="宋体" w:hAnsi="宋体" w:eastAsia="宋体" w:cs="Times New Roman"/>
                <w:bCs/>
                <w:color w:val="auto"/>
                <w:sz w:val="18"/>
                <w:szCs w:val="18"/>
              </w:rPr>
            </w:pPr>
            <w:r>
              <w:rPr>
                <w:rFonts w:hint="eastAsia" w:ascii="宋体" w:hAnsi="宋体" w:eastAsia="宋体" w:cs="Times New Roman"/>
                <w:bCs/>
                <w:color w:val="auto"/>
                <w:sz w:val="18"/>
                <w:szCs w:val="18"/>
                <w:lang w:val="en-US" w:eastAsia="zh-CN"/>
              </w:rPr>
              <w:t>10</w:t>
            </w:r>
            <w:r>
              <w:rPr>
                <w:rFonts w:hint="eastAsia" w:ascii="宋体" w:hAnsi="宋体" w:eastAsia="宋体" w:cs="Times New Roman"/>
                <w:bCs/>
                <w:color w:val="auto"/>
                <w:sz w:val="18"/>
                <w:szCs w:val="18"/>
              </w:rPr>
              <w:t>000元</w:t>
            </w:r>
          </w:p>
        </w:tc>
        <w:tc>
          <w:tcPr>
            <w:tcW w:w="1014" w:type="dxa"/>
            <w:noWrap w:val="0"/>
            <w:vAlign w:val="center"/>
          </w:tcPr>
          <w:p>
            <w:pPr>
              <w:jc w:val="center"/>
              <w:rPr>
                <w:rFonts w:hint="eastAsia" w:ascii="宋体" w:hAnsi="宋体" w:eastAsia="宋体" w:cs="Times New Roman"/>
                <w:bCs/>
                <w:color w:val="auto"/>
                <w:sz w:val="18"/>
                <w:szCs w:val="18"/>
              </w:rPr>
            </w:pPr>
            <w:r>
              <w:rPr>
                <w:rFonts w:hint="eastAsia" w:ascii="宋体" w:hAnsi="宋体" w:eastAsia="宋体" w:cs="Times New Roman"/>
                <w:bCs/>
                <w:color w:val="auto"/>
                <w:sz w:val="18"/>
                <w:szCs w:val="18"/>
              </w:rPr>
              <w:t>1年</w:t>
            </w:r>
          </w:p>
        </w:tc>
        <w:tc>
          <w:tcPr>
            <w:tcW w:w="5257" w:type="dxa"/>
            <w:noWrap w:val="0"/>
            <w:vAlign w:val="center"/>
          </w:tcPr>
          <w:p>
            <w:pPr>
              <w:jc w:val="left"/>
              <w:rPr>
                <w:rFonts w:hint="eastAsia" w:ascii="宋体" w:hAnsi="宋体"/>
                <w:b w:val="0"/>
                <w:bCs/>
                <w:color w:val="auto"/>
                <w:sz w:val="18"/>
                <w:szCs w:val="18"/>
              </w:rPr>
            </w:pPr>
            <w:r>
              <w:rPr>
                <w:rFonts w:hint="eastAsia" w:ascii="宋体" w:hAnsi="宋体"/>
                <w:b w:val="0"/>
                <w:bCs/>
                <w:color w:val="auto"/>
                <w:sz w:val="18"/>
                <w:szCs w:val="18"/>
              </w:rPr>
              <w:t>参保</w:t>
            </w:r>
            <w:r>
              <w:rPr>
                <w:rFonts w:hint="eastAsia"/>
                <w:b w:val="0"/>
                <w:bCs/>
                <w:color w:val="auto"/>
                <w:sz w:val="18"/>
                <w:szCs w:val="18"/>
                <w:lang w:eastAsia="zh-CN"/>
              </w:rPr>
              <w:t>人员</w:t>
            </w:r>
            <w:r>
              <w:rPr>
                <w:rFonts w:hint="eastAsia" w:ascii="宋体" w:hAnsi="宋体"/>
                <w:b w:val="0"/>
                <w:bCs/>
                <w:color w:val="auto"/>
                <w:sz w:val="18"/>
                <w:szCs w:val="18"/>
              </w:rPr>
              <w:t>因意外伤害进行门诊治疗或住院治疗，符合医保中心报销范围所支出的医疗费用100元以上部分按100%比例报销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hint="eastAsia" w:ascii="宋体" w:hAnsi="宋体" w:eastAsia="宋体" w:cs="Times New Roman"/>
                <w:bCs/>
                <w:color w:val="auto"/>
                <w:sz w:val="18"/>
                <w:szCs w:val="18"/>
                <w:lang w:eastAsia="zh-CN"/>
              </w:rPr>
            </w:pPr>
            <w:r>
              <w:rPr>
                <w:rFonts w:hint="eastAsia" w:ascii="宋体" w:hAnsi="宋体" w:eastAsia="宋体" w:cs="Times New Roman"/>
                <w:bCs/>
                <w:color w:val="auto"/>
                <w:sz w:val="18"/>
                <w:szCs w:val="18"/>
              </w:rPr>
              <w:t>大病</w:t>
            </w:r>
            <w:r>
              <w:rPr>
                <w:rFonts w:hint="eastAsia" w:ascii="宋体" w:hAnsi="宋体" w:eastAsia="宋体" w:cs="Times New Roman"/>
                <w:bCs/>
                <w:color w:val="auto"/>
                <w:sz w:val="18"/>
                <w:szCs w:val="18"/>
                <w:lang w:eastAsia="zh-CN"/>
              </w:rPr>
              <w:t>互助</w:t>
            </w:r>
          </w:p>
        </w:tc>
        <w:tc>
          <w:tcPr>
            <w:tcW w:w="1024" w:type="dxa"/>
            <w:noWrap w:val="0"/>
            <w:vAlign w:val="center"/>
          </w:tcPr>
          <w:p>
            <w:pPr>
              <w:jc w:val="center"/>
              <w:rPr>
                <w:rFonts w:hint="eastAsia" w:ascii="宋体" w:hAnsi="宋体" w:eastAsia="宋体" w:cs="Times New Roman"/>
                <w:bCs/>
                <w:color w:val="auto"/>
                <w:sz w:val="18"/>
                <w:szCs w:val="18"/>
              </w:rPr>
            </w:pPr>
            <w:r>
              <w:rPr>
                <w:rFonts w:hint="eastAsia" w:ascii="宋体" w:hAnsi="宋体" w:eastAsia="宋体" w:cs="Times New Roman"/>
                <w:bCs/>
                <w:color w:val="auto"/>
                <w:sz w:val="18"/>
                <w:szCs w:val="18"/>
                <w:lang w:val="en-US" w:eastAsia="zh-CN"/>
              </w:rPr>
              <w:t>20</w:t>
            </w:r>
            <w:r>
              <w:rPr>
                <w:rFonts w:hint="eastAsia" w:ascii="宋体" w:hAnsi="宋体" w:eastAsia="宋体" w:cs="Times New Roman"/>
                <w:bCs/>
                <w:color w:val="auto"/>
                <w:sz w:val="18"/>
                <w:szCs w:val="18"/>
              </w:rPr>
              <w:t>0000元</w:t>
            </w:r>
          </w:p>
        </w:tc>
        <w:tc>
          <w:tcPr>
            <w:tcW w:w="1014" w:type="dxa"/>
            <w:noWrap w:val="0"/>
            <w:vAlign w:val="center"/>
          </w:tcPr>
          <w:p>
            <w:pPr>
              <w:jc w:val="center"/>
              <w:rPr>
                <w:rFonts w:hint="eastAsia" w:ascii="宋体" w:hAnsi="宋体" w:eastAsia="宋体" w:cs="Times New Roman"/>
                <w:bCs/>
                <w:color w:val="auto"/>
                <w:sz w:val="18"/>
                <w:szCs w:val="18"/>
              </w:rPr>
            </w:pPr>
            <w:r>
              <w:rPr>
                <w:rFonts w:hint="eastAsia" w:ascii="宋体" w:hAnsi="宋体" w:eastAsia="宋体" w:cs="Times New Roman"/>
                <w:bCs/>
                <w:color w:val="auto"/>
                <w:sz w:val="18"/>
                <w:szCs w:val="18"/>
              </w:rPr>
              <w:t>1年</w:t>
            </w:r>
          </w:p>
        </w:tc>
        <w:tc>
          <w:tcPr>
            <w:tcW w:w="5257" w:type="dxa"/>
            <w:noWrap w:val="0"/>
            <w:vAlign w:val="center"/>
          </w:tcPr>
          <w:p>
            <w:pPr>
              <w:rPr>
                <w:rFonts w:hint="eastAsia" w:ascii="宋体" w:hAnsi="宋体"/>
                <w:b w:val="0"/>
                <w:bCs/>
                <w:color w:val="auto"/>
                <w:sz w:val="18"/>
                <w:szCs w:val="18"/>
              </w:rPr>
            </w:pPr>
            <w:r>
              <w:rPr>
                <w:rFonts w:hint="eastAsia" w:ascii="宋体" w:hAnsi="宋体"/>
                <w:b w:val="0"/>
                <w:bCs/>
                <w:color w:val="auto"/>
                <w:sz w:val="18"/>
                <w:szCs w:val="18"/>
              </w:rPr>
              <w:t>参保</w:t>
            </w:r>
            <w:r>
              <w:rPr>
                <w:rFonts w:hint="eastAsia"/>
                <w:b w:val="0"/>
                <w:bCs/>
                <w:color w:val="auto"/>
                <w:sz w:val="18"/>
                <w:szCs w:val="18"/>
                <w:lang w:eastAsia="zh-CN"/>
              </w:rPr>
              <w:t>人员</w:t>
            </w:r>
            <w:r>
              <w:rPr>
                <w:rFonts w:hint="eastAsia" w:ascii="宋体" w:hAnsi="宋体"/>
                <w:b w:val="0"/>
                <w:bCs/>
                <w:color w:val="auto"/>
                <w:sz w:val="18"/>
                <w:szCs w:val="18"/>
              </w:rPr>
              <w:t>住院医疗费用支出超过</w:t>
            </w:r>
            <w:r>
              <w:rPr>
                <w:rFonts w:hint="eastAsia"/>
                <w:b w:val="0"/>
                <w:bCs/>
                <w:color w:val="auto"/>
                <w:sz w:val="18"/>
                <w:szCs w:val="18"/>
                <w:lang w:eastAsia="zh-CN"/>
              </w:rPr>
              <w:t>基本医保</w:t>
            </w:r>
            <w:r>
              <w:rPr>
                <w:rFonts w:hint="eastAsia" w:ascii="宋体" w:hAnsi="宋体"/>
                <w:b w:val="0"/>
                <w:bCs/>
                <w:color w:val="auto"/>
                <w:sz w:val="18"/>
                <w:szCs w:val="18"/>
              </w:rPr>
              <w:t>封顶线最高限额，进入医保</w:t>
            </w:r>
            <w:r>
              <w:rPr>
                <w:rFonts w:hint="eastAsia"/>
                <w:b w:val="0"/>
                <w:bCs/>
                <w:color w:val="auto"/>
                <w:sz w:val="18"/>
                <w:szCs w:val="18"/>
                <w:lang w:eastAsia="zh-CN"/>
              </w:rPr>
              <w:t>大病统筹阶段的自费</w:t>
            </w:r>
            <w:r>
              <w:rPr>
                <w:rFonts w:hint="eastAsia" w:ascii="宋体" w:hAnsi="宋体"/>
                <w:b w:val="0"/>
                <w:bCs/>
                <w:color w:val="auto"/>
                <w:sz w:val="18"/>
                <w:szCs w:val="18"/>
              </w:rPr>
              <w:t>费用，按90%比例报销。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hint="eastAsia" w:ascii="宋体" w:hAnsi="宋体"/>
                <w:bCs/>
                <w:color w:val="auto"/>
                <w:sz w:val="18"/>
                <w:szCs w:val="18"/>
              </w:rPr>
            </w:pPr>
            <w:r>
              <w:rPr>
                <w:rFonts w:hint="eastAsia" w:ascii="宋体" w:hAnsi="宋体"/>
                <w:bCs/>
                <w:color w:val="auto"/>
                <w:sz w:val="18"/>
                <w:szCs w:val="18"/>
              </w:rPr>
              <w:t>意外烧伤</w:t>
            </w:r>
          </w:p>
        </w:tc>
        <w:tc>
          <w:tcPr>
            <w:tcW w:w="1024" w:type="dxa"/>
            <w:noWrap w:val="0"/>
            <w:vAlign w:val="center"/>
          </w:tcPr>
          <w:p>
            <w:pPr>
              <w:jc w:val="center"/>
              <w:rPr>
                <w:rFonts w:hint="eastAsia" w:ascii="宋体" w:hAnsi="宋体"/>
                <w:bCs/>
                <w:color w:val="auto"/>
                <w:sz w:val="18"/>
                <w:szCs w:val="18"/>
              </w:rPr>
            </w:pPr>
            <w:r>
              <w:rPr>
                <w:rFonts w:hint="eastAsia" w:ascii="宋体" w:hAnsi="宋体"/>
                <w:bCs/>
                <w:color w:val="auto"/>
                <w:sz w:val="18"/>
                <w:szCs w:val="18"/>
              </w:rPr>
              <w:t>80000元</w:t>
            </w:r>
          </w:p>
        </w:tc>
        <w:tc>
          <w:tcPr>
            <w:tcW w:w="1014" w:type="dxa"/>
            <w:noWrap w:val="0"/>
            <w:vAlign w:val="center"/>
          </w:tcPr>
          <w:p>
            <w:pPr>
              <w:ind w:firstLine="180" w:firstLineChars="100"/>
              <w:rPr>
                <w:rFonts w:hint="eastAsia" w:ascii="宋体" w:hAnsi="宋体"/>
                <w:color w:val="auto"/>
                <w:sz w:val="18"/>
                <w:szCs w:val="18"/>
              </w:rPr>
            </w:pPr>
            <w:r>
              <w:rPr>
                <w:rFonts w:hint="eastAsia" w:ascii="宋体" w:hAnsi="宋体"/>
                <w:color w:val="auto"/>
                <w:sz w:val="18"/>
                <w:szCs w:val="18"/>
              </w:rPr>
              <w:t>1年</w:t>
            </w:r>
          </w:p>
        </w:tc>
        <w:tc>
          <w:tcPr>
            <w:tcW w:w="5257" w:type="dxa"/>
            <w:noWrap w:val="0"/>
            <w:vAlign w:val="center"/>
          </w:tcPr>
          <w:p>
            <w:pPr>
              <w:jc w:val="left"/>
              <w:rPr>
                <w:rFonts w:hint="eastAsia" w:ascii="宋体" w:hAnsi="宋体"/>
                <w:color w:val="auto"/>
                <w:sz w:val="18"/>
                <w:szCs w:val="18"/>
              </w:rPr>
            </w:pPr>
            <w:r>
              <w:rPr>
                <w:rFonts w:hint="eastAsia" w:ascii="宋体" w:hAnsi="宋体"/>
                <w:color w:val="auto"/>
                <w:sz w:val="18"/>
                <w:szCs w:val="18"/>
              </w:rPr>
              <w:t>参保职工因意外烧伤治愈后，根据烧伤等级按“烧伤程度与保险金给付比例表”对应给付相应比例保险金</w:t>
            </w:r>
          </w:p>
        </w:tc>
      </w:tr>
    </w:tbl>
    <w:p>
      <w:pPr>
        <w:pStyle w:val="5"/>
        <w:rPr>
          <w:rFonts w:hint="default" w:ascii="宋体" w:hAnsi="宋体" w:eastAsia="宋体" w:cs="宋体"/>
          <w:b w:val="0"/>
          <w:bCs w:val="0"/>
          <w:color w:val="0000FF"/>
          <w:sz w:val="24"/>
          <w:szCs w:val="24"/>
          <w:lang w:val="en-US" w:eastAsia="zh-CN"/>
        </w:rPr>
      </w:pPr>
    </w:p>
    <w:p>
      <w:pPr>
        <w:pStyle w:val="5"/>
        <w:ind w:left="0" w:leftChars="0" w:firstLine="0" w:firstLineChars="0"/>
        <w:jc w:val="center"/>
        <w:rPr>
          <w:color w:val="auto"/>
        </w:rPr>
      </w:pPr>
      <w:r>
        <w:rPr>
          <w:rFonts w:hint="eastAsia" w:ascii="宋体" w:hAnsi="宋体" w:eastAsia="宋体" w:cs="宋体"/>
          <w:b w:val="0"/>
          <w:bCs w:val="0"/>
          <w:color w:val="auto"/>
          <w:sz w:val="24"/>
          <w:szCs w:val="24"/>
          <w:lang w:val="en-US" w:eastAsia="zh-CN"/>
        </w:rPr>
        <w:t>2、在职职工补充医疗基本保险方案</w:t>
      </w:r>
    </w:p>
    <w:tbl>
      <w:tblPr>
        <w:tblStyle w:val="6"/>
        <w:tblW w:w="4997" w:type="pct"/>
        <w:tblInd w:w="0" w:type="dxa"/>
        <w:tblLayout w:type="autofit"/>
        <w:tblCellMar>
          <w:top w:w="0" w:type="dxa"/>
          <w:left w:w="108" w:type="dxa"/>
          <w:bottom w:w="0" w:type="dxa"/>
          <w:right w:w="108" w:type="dxa"/>
        </w:tblCellMar>
      </w:tblPr>
      <w:tblGrid>
        <w:gridCol w:w="420"/>
        <w:gridCol w:w="416"/>
        <w:gridCol w:w="913"/>
        <w:gridCol w:w="5274"/>
        <w:gridCol w:w="1494"/>
      </w:tblGrid>
      <w:tr>
        <w:tblPrEx>
          <w:tblCellMar>
            <w:top w:w="0" w:type="dxa"/>
            <w:left w:w="108" w:type="dxa"/>
            <w:bottom w:w="0" w:type="dxa"/>
            <w:right w:w="108" w:type="dxa"/>
          </w:tblCellMar>
        </w:tblPrEx>
        <w:trPr>
          <w:trHeight w:val="44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保障项目</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保险责任简要描述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保险金额</w:t>
            </w:r>
          </w:p>
        </w:tc>
      </w:tr>
      <w:tr>
        <w:trPr>
          <w:trHeight w:val="520" w:hRule="atLeast"/>
        </w:trPr>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团体重</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大疾病</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重大疾病</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经医院确诊初次罹患本合同所约定的100种重大疾病(不论一种或多种)，全额给付重大疾病保险金</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13万</w:t>
            </w:r>
          </w:p>
        </w:tc>
      </w:tr>
      <w:tr>
        <w:tblPrEx>
          <w:tblCellMar>
            <w:top w:w="0" w:type="dxa"/>
            <w:left w:w="108" w:type="dxa"/>
            <w:bottom w:w="0" w:type="dxa"/>
            <w:right w:w="108" w:type="dxa"/>
          </w:tblCellMar>
        </w:tblPrEx>
        <w:trPr>
          <w:trHeight w:val="840" w:hRule="atLeast"/>
        </w:trPr>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轻症疾病</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经医院确诊初次罹患本合同所约定的50种轻症疾病(不论一种或多种)，全额给付轻症疾病保险金，对于已经符合重大疾病给付条件的，仅给付重大疾病保险金，不再给付轻症疾病保险金</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3万</w:t>
            </w:r>
          </w:p>
        </w:tc>
      </w:tr>
      <w:tr>
        <w:tblPrEx>
          <w:tblCellMar>
            <w:top w:w="0" w:type="dxa"/>
            <w:left w:w="108" w:type="dxa"/>
            <w:bottom w:w="0" w:type="dxa"/>
            <w:right w:w="108" w:type="dxa"/>
          </w:tblCellMar>
        </w:tblPrEx>
        <w:trPr>
          <w:trHeight w:val="60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意外身故</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因遭受意外事故，并自事故发生之日起180日（含）内因该事故身故，按保额给付意外身故保险金</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30万</w:t>
            </w:r>
          </w:p>
        </w:tc>
      </w:tr>
      <w:tr>
        <w:tblPrEx>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意外伤残</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并自事故发生之日起180日（含）内因该事故致残，按照《人身保险伤残评定标准》所评定的残疾等级对应的赔付比例乘以意外伤残保额给付意外伤残保险金，伤残等级赔付比例从1-10级依次按10%递减，1级伤残的赔付比例为100%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30万</w:t>
            </w:r>
          </w:p>
        </w:tc>
      </w:tr>
      <w:tr>
        <w:tblPrEx>
          <w:tblCellMar>
            <w:top w:w="0" w:type="dxa"/>
            <w:left w:w="108" w:type="dxa"/>
            <w:bottom w:w="0" w:type="dxa"/>
            <w:right w:w="108" w:type="dxa"/>
          </w:tblCellMar>
        </w:tblPrEx>
        <w:trPr>
          <w:trHeight w:val="74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意外医疗</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因遭受意外事故，并自事故发生之日起180日（含）内因该事故在医院治疗的，承担合理医疗费用(含部分政策自付费用，不包含完全政策自费费用)，次免赔额100元，赔付比例100%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5万</w:t>
            </w:r>
          </w:p>
        </w:tc>
      </w:tr>
      <w:tr>
        <w:tblPrEx>
          <w:tblCellMar>
            <w:top w:w="0" w:type="dxa"/>
            <w:left w:w="108" w:type="dxa"/>
            <w:bottom w:w="0" w:type="dxa"/>
            <w:right w:w="108" w:type="dxa"/>
          </w:tblCellMar>
        </w:tblPrEx>
        <w:trPr>
          <w:trHeight w:val="72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门诊急诊医疗</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因遭受意外事故或者疾病在医院门诊（急诊）部治疗的，承担合理医疗费用(含部分政策自付费用，不包含完全政策自费费用)，年免赔额100元，赔付比例100%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0.8万</w:t>
            </w:r>
          </w:p>
        </w:tc>
      </w:tr>
      <w:tr>
        <w:tblPrEx>
          <w:tblCellMar>
            <w:top w:w="0" w:type="dxa"/>
            <w:left w:w="108" w:type="dxa"/>
            <w:bottom w:w="0" w:type="dxa"/>
            <w:right w:w="108" w:type="dxa"/>
          </w:tblCellMar>
        </w:tblPrEx>
        <w:trPr>
          <w:trHeight w:val="1080" w:hRule="atLeast"/>
        </w:trPr>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补充住院医疗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(基本段)</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或者疾病在医院住院治疗的，承担当地医保统筹基金最高支付限额以下的合理医疗费用(含部分政策自付费用和完全政策自费费用)，当地基本医疗保险报销后，①除完全政策自费费用以外的其他费用，次免赔额100元，赔付比例90%；②针对完全政策自费费用，0免赔，按60%比例赔付。未经医保报销的不予赔付。</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5万</w:t>
            </w:r>
          </w:p>
        </w:tc>
      </w:tr>
      <w:tr>
        <w:tblPrEx>
          <w:tblCellMar>
            <w:top w:w="0" w:type="dxa"/>
            <w:left w:w="108" w:type="dxa"/>
            <w:bottom w:w="0" w:type="dxa"/>
            <w:right w:w="108" w:type="dxa"/>
          </w:tblCellMar>
        </w:tblPrEx>
        <w:trPr>
          <w:trHeight w:val="780" w:hRule="atLeast"/>
        </w:trPr>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补充住院医疗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(大病段)</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因遭受意外事故或者疾病在医院住院治疗的，承担因住院治疗支出的符合当地大病保险支付范围的合理医疗费用(含部分政策自付费用，不包含完全政策自费费用)，免赔额0元，赔付比例为90%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50万</w:t>
            </w:r>
          </w:p>
        </w:tc>
      </w:tr>
      <w:tr>
        <w:tblPrEx>
          <w:tblCellMar>
            <w:top w:w="0" w:type="dxa"/>
            <w:left w:w="108" w:type="dxa"/>
            <w:bottom w:w="0" w:type="dxa"/>
            <w:right w:w="108" w:type="dxa"/>
          </w:tblCellMar>
        </w:tblPrEx>
        <w:trPr>
          <w:trHeight w:val="50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7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住院日额津贴</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因遭受意外或者疾病在医院住院治疗，无免赔天数，按100元/天给付，累计给付以180天为限</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100元/天</w:t>
            </w:r>
          </w:p>
        </w:tc>
      </w:tr>
      <w:tr>
        <w:tblPrEx>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8 </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身故保障</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因遭受意外或者疾病导致身故，按保额给付</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10万</w:t>
            </w:r>
          </w:p>
        </w:tc>
      </w:tr>
      <w:tr>
        <w:trPr>
          <w:trHeight w:val="66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保障项目</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保险责任简要描述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保险金额</w:t>
            </w:r>
          </w:p>
        </w:tc>
      </w:tr>
      <w:tr>
        <w:tblPrEx>
          <w:tblCellMar>
            <w:top w:w="0" w:type="dxa"/>
            <w:left w:w="108" w:type="dxa"/>
            <w:bottom w:w="0" w:type="dxa"/>
            <w:right w:w="108" w:type="dxa"/>
          </w:tblCellMar>
        </w:tblPrEx>
        <w:trPr>
          <w:trHeight w:val="660" w:hRule="atLeast"/>
        </w:trPr>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9 </w:t>
            </w:r>
          </w:p>
        </w:tc>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交通意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外伤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交通意外身故</w:t>
            </w:r>
          </w:p>
        </w:tc>
        <w:tc>
          <w:tcPr>
            <w:tcW w:w="30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交通意外身故、交通意外伤残共用交通意外伤害保险金额</w:t>
            </w:r>
          </w:p>
        </w:tc>
        <w:tc>
          <w:tcPr>
            <w:tcW w:w="87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乘坐民航班机100万、乘坐列车50万、乘坐轮船50万、乘坐营运汽车30万、驾驶非营运汽车30万，乘坐非营运汽30万</w:t>
            </w:r>
          </w:p>
        </w:tc>
      </w:tr>
      <w:tr>
        <w:tblPrEx>
          <w:tblCellMar>
            <w:top w:w="0" w:type="dxa"/>
            <w:left w:w="108" w:type="dxa"/>
            <w:bottom w:w="0" w:type="dxa"/>
            <w:right w:w="108" w:type="dxa"/>
          </w:tblCellMar>
        </w:tblPrEx>
        <w:trPr>
          <w:trHeight w:val="1681" w:hRule="atLeast"/>
        </w:trPr>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交通意外伤残害</w:t>
            </w:r>
          </w:p>
        </w:tc>
        <w:tc>
          <w:tcPr>
            <w:tcW w:w="309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18"/>
                <w:szCs w:val="18"/>
                <w:u w:val="none"/>
              </w:rPr>
            </w:pPr>
          </w:p>
        </w:tc>
        <w:tc>
          <w:tcPr>
            <w:tcW w:w="87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18"/>
                <w:szCs w:val="18"/>
                <w:u w:val="none"/>
              </w:rPr>
            </w:pPr>
          </w:p>
        </w:tc>
      </w:tr>
      <w:tr>
        <w:tblPrEx>
          <w:tblCellMar>
            <w:top w:w="0" w:type="dxa"/>
            <w:left w:w="108" w:type="dxa"/>
            <w:bottom w:w="0" w:type="dxa"/>
            <w:right w:w="108" w:type="dxa"/>
          </w:tblCellMar>
        </w:tblPrEx>
        <w:trPr>
          <w:trHeight w:val="540"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10</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重大疾病住院医疗津贴</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初次确诊合同约定的100种重大疾病导致住院治疗的，扣除0天免赔后按200元/天给付，累计以180天为限</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200元/天</w:t>
            </w:r>
          </w:p>
        </w:tc>
      </w:tr>
      <w:tr>
        <w:tblPrEx>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18"/>
                <w:szCs w:val="18"/>
                <w:u w:val="none"/>
                <w:lang w:val="en-US" w:eastAsia="zh-CN" w:bidi="ar"/>
              </w:rPr>
              <w:t>备注：本保险方案新保30天等待期，续保无等待期</w:t>
            </w:r>
          </w:p>
        </w:tc>
      </w:tr>
    </w:tbl>
    <w:p>
      <w:pPr>
        <w:pStyle w:val="5"/>
        <w:rPr>
          <w:rFonts w:hint="eastAsia" w:ascii="宋体" w:hAnsi="宋体" w:eastAsia="宋体" w:cs="宋体"/>
          <w:b w:val="0"/>
          <w:bCs w:val="0"/>
          <w:lang w:val="en-US" w:eastAsia="zh-CN"/>
        </w:rPr>
      </w:pPr>
    </w:p>
    <w:p>
      <w:pPr>
        <w:pStyle w:val="8"/>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★注：① 参选单位所提供的保险方案不得低于以上标准，否则视为无效响应。</w:t>
      </w:r>
    </w:p>
    <w:p>
      <w:pPr>
        <w:pStyle w:val="8"/>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b/>
          <w:bCs/>
          <w:color w:val="auto"/>
          <w:sz w:val="21"/>
          <w:szCs w:val="21"/>
          <w:lang w:val="en-US" w:eastAsia="zh-CN"/>
        </w:rPr>
      </w:pPr>
      <w:r>
        <w:rPr>
          <w:rFonts w:hint="eastAsia" w:ascii="宋体" w:hAnsi="宋体" w:eastAsia="宋体" w:cs="宋体"/>
          <w:b w:val="0"/>
          <w:bCs w:val="0"/>
          <w:color w:val="auto"/>
          <w:sz w:val="21"/>
          <w:szCs w:val="21"/>
          <w:lang w:val="en-US" w:eastAsia="zh-CN"/>
        </w:rPr>
        <w:t xml:space="preserve">      ② 本方案适用于湖南华升股份有限公司、湖南华升服饰股份有限公司、湖南华升工贸有限公司等3家续保单位，续保生效日期须追溯至2025年1月1日，本方案要求承担3家续保单位员工自首次建立补充医疗保险后至上个保单年度末仍在保且本年度正常续保员工的所产生的既往症的健康险保障责任。</w:t>
      </w:r>
    </w:p>
    <w:p>
      <w:pPr>
        <w:pStyle w:val="2"/>
        <w:rPr>
          <w:rFonts w:hint="eastAsia" w:ascii="楷体" w:hAnsi="楷体" w:eastAsia="楷体" w:cs="楷体"/>
          <w:b w:val="0"/>
          <w:bCs w:val="0"/>
          <w:color w:val="auto"/>
          <w:kern w:val="2"/>
          <w:sz w:val="20"/>
          <w:szCs w:val="21"/>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outlineLvl w:val="0"/>
        <w:rPr>
          <w:rFonts w:hint="default" w:ascii="黑体" w:hAnsi="黑体" w:eastAsia="黑体" w:cs="黑体"/>
          <w:b/>
          <w:bCs/>
          <w:color w:val="auto"/>
          <w:kern w:val="2"/>
          <w:sz w:val="28"/>
          <w:szCs w:val="28"/>
          <w:lang w:val="en-US" w:eastAsia="zh-CN" w:bidi="ar-SA"/>
        </w:rPr>
      </w:pPr>
      <w:r>
        <w:rPr>
          <w:rFonts w:hint="eastAsia" w:ascii="黑体" w:hAnsi="黑体" w:eastAsia="黑体" w:cs="黑体"/>
          <w:b/>
          <w:bCs/>
          <w:color w:val="auto"/>
          <w:kern w:val="2"/>
          <w:sz w:val="28"/>
          <w:szCs w:val="28"/>
          <w:lang w:val="en-US" w:eastAsia="zh-CN" w:bidi="ar-SA"/>
        </w:rPr>
        <w:t>服务要求</w:t>
      </w:r>
    </w:p>
    <w:p>
      <w:pPr>
        <w:pStyle w:val="2"/>
        <w:rPr>
          <w:rFonts w:hint="default"/>
          <w:sz w:val="13"/>
          <w:szCs w:val="13"/>
          <w:lang w:val="en-US" w:eastAsia="zh-CN"/>
        </w:rPr>
      </w:pPr>
    </w:p>
    <w:p>
      <w:pPr>
        <w:pStyle w:val="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1、中</w:t>
      </w:r>
      <w:r>
        <w:rPr>
          <w:rFonts w:hint="eastAsia" w:ascii="宋体" w:hAnsi="宋体" w:eastAsia="宋体" w:cs="宋体"/>
          <w:color w:val="auto"/>
          <w:sz w:val="24"/>
          <w:szCs w:val="21"/>
          <w:lang w:val="en-US" w:eastAsia="zh-CN"/>
        </w:rPr>
        <w:t>选</w:t>
      </w:r>
      <w:r>
        <w:rPr>
          <w:rFonts w:hint="eastAsia" w:ascii="宋体" w:hAnsi="宋体" w:eastAsia="宋体" w:cs="宋体"/>
          <w:color w:val="auto"/>
          <w:sz w:val="24"/>
          <w:szCs w:val="21"/>
        </w:rPr>
        <w:t>人须安排2-3名有经验的专职工作人员，与</w:t>
      </w:r>
      <w:r>
        <w:rPr>
          <w:rFonts w:hint="eastAsia" w:ascii="宋体" w:hAnsi="宋体" w:eastAsia="宋体" w:cs="宋体"/>
          <w:color w:val="auto"/>
          <w:sz w:val="24"/>
          <w:szCs w:val="21"/>
          <w:lang w:val="en-US" w:eastAsia="zh-CN"/>
        </w:rPr>
        <w:t>招标人</w:t>
      </w:r>
      <w:r>
        <w:rPr>
          <w:rFonts w:hint="eastAsia" w:ascii="宋体" w:hAnsi="宋体" w:eastAsia="宋体" w:cs="宋体"/>
          <w:color w:val="auto"/>
          <w:sz w:val="24"/>
          <w:szCs w:val="21"/>
        </w:rPr>
        <w:t>对接做好保险购买(变更)、理赔、收取理赔资料、送达其它保险资料等事宜，提供承保、理赔绿色优先通道服务。</w:t>
      </w:r>
    </w:p>
    <w:p>
      <w:pPr>
        <w:pStyle w:val="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2、项目负责人，专职工作人员须书面上报采购人备案，在保险合同期内人员变动须提前3 天通知</w:t>
      </w:r>
      <w:r>
        <w:rPr>
          <w:rFonts w:hint="eastAsia" w:ascii="宋体" w:hAnsi="宋体" w:eastAsia="宋体" w:cs="宋体"/>
          <w:color w:val="auto"/>
          <w:sz w:val="24"/>
          <w:szCs w:val="21"/>
          <w:lang w:val="en-US" w:eastAsia="zh-CN"/>
        </w:rPr>
        <w:t>招标人</w:t>
      </w:r>
      <w:r>
        <w:rPr>
          <w:rFonts w:hint="eastAsia" w:ascii="宋体" w:hAnsi="宋体" w:eastAsia="宋体" w:cs="宋体"/>
          <w:color w:val="auto"/>
          <w:sz w:val="24"/>
          <w:szCs w:val="21"/>
        </w:rPr>
        <w:t>。若出现不能履行其应尽的职责或服务，中</w:t>
      </w:r>
      <w:r>
        <w:rPr>
          <w:rFonts w:hint="eastAsia" w:ascii="宋体" w:hAnsi="宋体" w:eastAsia="宋体" w:cs="宋体"/>
          <w:color w:val="auto"/>
          <w:sz w:val="24"/>
          <w:szCs w:val="21"/>
          <w:lang w:val="en-US" w:eastAsia="zh-CN"/>
        </w:rPr>
        <w:t>选</w:t>
      </w:r>
      <w:r>
        <w:rPr>
          <w:rFonts w:hint="eastAsia" w:ascii="宋体" w:hAnsi="宋体" w:eastAsia="宋体" w:cs="宋体"/>
          <w:color w:val="auto"/>
          <w:sz w:val="24"/>
          <w:szCs w:val="21"/>
        </w:rPr>
        <w:t>人应在收到</w:t>
      </w:r>
      <w:r>
        <w:rPr>
          <w:rFonts w:hint="eastAsia" w:ascii="宋体" w:hAnsi="宋体" w:eastAsia="宋体" w:cs="宋体"/>
          <w:color w:val="auto"/>
          <w:sz w:val="24"/>
          <w:szCs w:val="21"/>
          <w:lang w:val="en-US" w:eastAsia="zh-CN"/>
        </w:rPr>
        <w:t>招标人</w:t>
      </w:r>
      <w:r>
        <w:rPr>
          <w:rFonts w:hint="eastAsia" w:ascii="宋体" w:hAnsi="宋体" w:eastAsia="宋体" w:cs="宋体"/>
          <w:color w:val="auto"/>
          <w:sz w:val="24"/>
          <w:szCs w:val="21"/>
        </w:rPr>
        <w:t>书面通知后3天内无条件撤换。</w:t>
      </w:r>
    </w:p>
    <w:p>
      <w:pPr>
        <w:pStyle w:val="2"/>
        <w:spacing w:line="360" w:lineRule="auto"/>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3、中选人须提供优质的保险承保、理赔、保全、咨询投诉等服务。</w:t>
      </w:r>
    </w:p>
    <w:p>
      <w:pPr>
        <w:pStyle w:val="2"/>
        <w:spacing w:line="360" w:lineRule="auto"/>
        <w:ind w:firstLine="480" w:firstLineChars="200"/>
        <w:rPr>
          <w:rFonts w:hint="eastAsia"/>
          <w:color w:val="auto"/>
        </w:rPr>
      </w:pPr>
      <w:r>
        <w:rPr>
          <w:rFonts w:hint="eastAsia" w:ascii="宋体" w:hAnsi="宋体" w:eastAsia="宋体" w:cs="宋体"/>
          <w:color w:val="auto"/>
          <w:sz w:val="24"/>
          <w:szCs w:val="21"/>
          <w:lang w:val="en-US" w:eastAsia="zh-CN"/>
        </w:rPr>
        <w:t>4、定期为招标人员工免费举办关于索赔程序、医疗保险知识等方面的讲座及其他活动。</w:t>
      </w:r>
    </w:p>
    <w:p>
      <w:pPr>
        <w:pStyle w:val="2"/>
        <w:rPr>
          <w:rFonts w:hint="default"/>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366A2"/>
    <w:multiLevelType w:val="singleLevel"/>
    <w:tmpl w:val="10F366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OWNiMzQ3MzhjYmE5MTQ1NGNiZjJhZTg3OWY0OTYifQ=="/>
    <w:docVar w:name="KSO_WPS_MARK_KEY" w:val="0c4adf50-8032-4e89-98e6-e787acd85e70"/>
  </w:docVars>
  <w:rsids>
    <w:rsidRoot w:val="467055B1"/>
    <w:rsid w:val="004F3107"/>
    <w:rsid w:val="020C0102"/>
    <w:rsid w:val="038C4EF4"/>
    <w:rsid w:val="057A678A"/>
    <w:rsid w:val="05C16AF7"/>
    <w:rsid w:val="08843202"/>
    <w:rsid w:val="08A00AD6"/>
    <w:rsid w:val="0B3167FF"/>
    <w:rsid w:val="0BBB41D7"/>
    <w:rsid w:val="0C7A2931"/>
    <w:rsid w:val="0D025C82"/>
    <w:rsid w:val="0E605DAE"/>
    <w:rsid w:val="0F0176BC"/>
    <w:rsid w:val="119D0248"/>
    <w:rsid w:val="11A94662"/>
    <w:rsid w:val="14B2689B"/>
    <w:rsid w:val="16DB634E"/>
    <w:rsid w:val="178A2198"/>
    <w:rsid w:val="191723C6"/>
    <w:rsid w:val="19C35CAB"/>
    <w:rsid w:val="1C416070"/>
    <w:rsid w:val="1CB0502A"/>
    <w:rsid w:val="1D544F22"/>
    <w:rsid w:val="1FAA1317"/>
    <w:rsid w:val="223C5D44"/>
    <w:rsid w:val="25D51E9F"/>
    <w:rsid w:val="2AD90BA6"/>
    <w:rsid w:val="2C0515BD"/>
    <w:rsid w:val="2CC52581"/>
    <w:rsid w:val="2D306A77"/>
    <w:rsid w:val="2DCA4393"/>
    <w:rsid w:val="2E052ABC"/>
    <w:rsid w:val="2F3411CC"/>
    <w:rsid w:val="33D95773"/>
    <w:rsid w:val="36D75725"/>
    <w:rsid w:val="36EE5299"/>
    <w:rsid w:val="373554BA"/>
    <w:rsid w:val="375F15BA"/>
    <w:rsid w:val="37702892"/>
    <w:rsid w:val="37B0130E"/>
    <w:rsid w:val="37CC3A11"/>
    <w:rsid w:val="381F73F2"/>
    <w:rsid w:val="395636F9"/>
    <w:rsid w:val="3A934356"/>
    <w:rsid w:val="3BD33DE3"/>
    <w:rsid w:val="3BE91427"/>
    <w:rsid w:val="3DD446BC"/>
    <w:rsid w:val="3FA91D50"/>
    <w:rsid w:val="406B4ED1"/>
    <w:rsid w:val="44295A0E"/>
    <w:rsid w:val="45967941"/>
    <w:rsid w:val="467055B1"/>
    <w:rsid w:val="46776BDF"/>
    <w:rsid w:val="479F366F"/>
    <w:rsid w:val="481D3F9D"/>
    <w:rsid w:val="482B0A0F"/>
    <w:rsid w:val="484E3773"/>
    <w:rsid w:val="49F83A38"/>
    <w:rsid w:val="4AC73339"/>
    <w:rsid w:val="4B673737"/>
    <w:rsid w:val="4EF03431"/>
    <w:rsid w:val="4F7F04B7"/>
    <w:rsid w:val="5061794A"/>
    <w:rsid w:val="50AB3988"/>
    <w:rsid w:val="51045360"/>
    <w:rsid w:val="51C22DDA"/>
    <w:rsid w:val="52ED11C7"/>
    <w:rsid w:val="543E4411"/>
    <w:rsid w:val="54453367"/>
    <w:rsid w:val="55752E19"/>
    <w:rsid w:val="561B5747"/>
    <w:rsid w:val="56963102"/>
    <w:rsid w:val="56D26C3F"/>
    <w:rsid w:val="596A0A0D"/>
    <w:rsid w:val="599C6B86"/>
    <w:rsid w:val="5CB74F02"/>
    <w:rsid w:val="5E2B5884"/>
    <w:rsid w:val="5EF56BA0"/>
    <w:rsid w:val="60252496"/>
    <w:rsid w:val="616668AD"/>
    <w:rsid w:val="61750A0C"/>
    <w:rsid w:val="623954AB"/>
    <w:rsid w:val="623D1FA5"/>
    <w:rsid w:val="62616EC8"/>
    <w:rsid w:val="628D35E9"/>
    <w:rsid w:val="647E35D8"/>
    <w:rsid w:val="66873071"/>
    <w:rsid w:val="672D4C73"/>
    <w:rsid w:val="680A49BB"/>
    <w:rsid w:val="68E23B75"/>
    <w:rsid w:val="6A3E73DF"/>
    <w:rsid w:val="6A5F61CB"/>
    <w:rsid w:val="6B93002E"/>
    <w:rsid w:val="6CC76C20"/>
    <w:rsid w:val="6DEF2490"/>
    <w:rsid w:val="6E961472"/>
    <w:rsid w:val="6F0A13D7"/>
    <w:rsid w:val="70A408DB"/>
    <w:rsid w:val="71CB4CD6"/>
    <w:rsid w:val="72502A55"/>
    <w:rsid w:val="766B6901"/>
    <w:rsid w:val="77772AEE"/>
    <w:rsid w:val="7B444921"/>
    <w:rsid w:val="7B6009C8"/>
    <w:rsid w:val="7CD478D6"/>
    <w:rsid w:val="7E200123"/>
    <w:rsid w:val="7E7F651B"/>
    <w:rsid w:val="7EBB5D72"/>
    <w:rsid w:val="7F9577B5"/>
    <w:rsid w:val="7FCF0F70"/>
    <w:rsid w:val="7FF0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hAnsi="仿宋_GB2312" w:eastAsia="仿宋_GB2312"/>
      <w:sz w:val="3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sz w:val="21"/>
      <w:szCs w:val="24"/>
    </w:rPr>
  </w:style>
  <w:style w:type="paragraph" w:styleId="5">
    <w:name w:val="Body Text First Indent 2"/>
    <w:basedOn w:val="3"/>
    <w:unhideWhenUsed/>
    <w:qFormat/>
    <w:uiPriority w:val="99"/>
    <w:pPr>
      <w:autoSpaceDE w:val="0"/>
      <w:autoSpaceDN w:val="0"/>
      <w:adjustRightInd w:val="0"/>
      <w:jc w:val="left"/>
    </w:pPr>
    <w:rPr>
      <w:kern w:val="0"/>
    </w:rPr>
  </w:style>
  <w:style w:type="paragraph" w:customStyle="1" w:styleId="8">
    <w:name w:val="样式 正文缩进 + 首行缩进:  2.56 字符 段前: 0.6 行 段后: 0.6 行"/>
    <w:unhideWhenUsed/>
    <w:qFormat/>
    <w:uiPriority w:val="0"/>
    <w:pPr>
      <w:spacing w:before="144" w:after="144"/>
      <w:ind w:firstLine="538" w:firstLineChars="256"/>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2024-12-17T09:57:00Z</dcterms:created>
  <dc:creator>汤美芝</dc:creator>
  <cp:lastModifiedBy>汤美芝</cp:lastModifiedBy>
  <dcterms:modified xsi:type="dcterms:W3CDTF">2024-12-17T09:57:32Z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F9240FF8EB314D0B9D7D156CC25C7F65</vt:lpwstr>
  </property>
</Properties>
</file>